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7036C" w14:textId="1A7C8823" w:rsidR="004C519C" w:rsidRPr="004C519C" w:rsidRDefault="004C519C" w:rsidP="004C51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  <w:r w:rsidRPr="004C519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В рамках добровольного снижения неформальной занятости каждый пятый работодатель из приглашенных на комиссию легализовал выплаты</w:t>
      </w:r>
    </w:p>
    <w:p w14:paraId="367F5D90" w14:textId="77777777" w:rsidR="004C519C" w:rsidRPr="004C519C" w:rsidRDefault="004C519C" w:rsidP="004C51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14:paraId="7D6AA197" w14:textId="4758276D" w:rsidR="004C519C" w:rsidRPr="004C519C" w:rsidRDefault="004C519C" w:rsidP="004C519C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4C51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Межведомственные рабочие группы по снижению неформальной занятости, в состав которых входят сотрудники местных администраций, прокуратуры, службы судебных приставов, налоговой службы и центра занятости населения осуществляют меры, направленные</w:t>
      </w:r>
      <w:r w:rsidRPr="004C51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4C51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на</w:t>
      </w:r>
      <w:r w:rsidRPr="004C51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br/>
        <w:t>защиту трудовых прав граждан и снижение количества нарушений налогового законодательства. С начала года на заседаниях таких комиссий в регионе заслушаны 675 работодателей, официально выплачивающих работникам зарплату менее установленного на федеральном уровне МРОТ. Комиссиями приняты к сведению объективные доводы работодателей. Однако, проблема выплаты зарплаты «в конверте» остается актуальной. Налогоплательщикам предложено оценить риски нарушения законодательства. В итоге 120 работодателей легализовали выплаты и отразили в отчетности среднюю заработную плату выше МРОТ</w:t>
      </w:r>
      <w:r w:rsidRPr="004C51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.</w:t>
      </w:r>
      <w:bookmarkStart w:id="0" w:name="_GoBack"/>
      <w:bookmarkEnd w:id="0"/>
    </w:p>
    <w:p w14:paraId="121CEFF5" w14:textId="077E7C8B" w:rsidR="004C519C" w:rsidRPr="004C519C" w:rsidRDefault="004C519C" w:rsidP="004C51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4C51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При этом учитывается, что на региональном уровне районные коэффициенты и надбавки, выплачиваемые к заработной плате работников, занятых в местностях с особыми климатическими условиями, компенсационные, стимулирующие и социальные выплаты начисляются к установленному размеру МРОТ (с 01.01.2023 - 16 242 рубля, с 01.01.2024 планируется 19242 рубля), а не учитываются в нем.</w:t>
      </w:r>
    </w:p>
    <w:p w14:paraId="7B2E4378" w14:textId="77777777" w:rsidR="004C519C" w:rsidRPr="004C519C" w:rsidRDefault="004C519C" w:rsidP="004C519C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4C51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 случаях, если факт нарушения налогового законодательства установлен (в том числе по жалобе на действия работодателя), налоговый орган предъявляет работодателю к уплате в бюджет сумму недоплаченных страховых взносов и НДФЛ, включая пени и штрафы. При этом работник, не получая мер поддержки в рамках социального пакета, имеет право обратиться в суд за восстановлением своих трудовых прав, а также страхового стажа, учитываемого при уплате по больничным листам и назначении пенсии.</w:t>
      </w:r>
    </w:p>
    <w:p w14:paraId="59C749F8" w14:textId="77777777" w:rsidR="00396387" w:rsidRPr="004C519C" w:rsidRDefault="00396387">
      <w:pPr>
        <w:rPr>
          <w:rFonts w:ascii="Times New Roman" w:hAnsi="Times New Roman" w:cs="Times New Roman"/>
        </w:rPr>
      </w:pPr>
    </w:p>
    <w:sectPr w:rsidR="00396387" w:rsidRPr="004C5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FC2"/>
    <w:rsid w:val="00396387"/>
    <w:rsid w:val="004C519C"/>
    <w:rsid w:val="006C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F5F03"/>
  <w15:chartTrackingRefBased/>
  <w15:docId w15:val="{158E0F04-BDF5-4084-87B9-53795D91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Бухгалтерия3</dc:creator>
  <cp:keywords/>
  <dc:description/>
  <cp:lastModifiedBy>Бухгалтерия3</cp:lastModifiedBy>
  <cp:revision>2</cp:revision>
  <dcterms:created xsi:type="dcterms:W3CDTF">2023-08-17T07:11:00Z</dcterms:created>
  <dcterms:modified xsi:type="dcterms:W3CDTF">2023-08-17T07:13:00Z</dcterms:modified>
</cp:coreProperties>
</file>